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35" w:rsidRPr="00334735" w:rsidRDefault="00334735" w:rsidP="00334735">
      <w:pPr>
        <w:spacing w:before="450" w:after="150" w:line="240" w:lineRule="auto"/>
        <w:outlineLvl w:val="0"/>
        <w:rPr>
          <w:rFonts w:ascii="neristhin" w:eastAsia="Times New Roman" w:hAnsi="neristhin" w:cs="Helvetica"/>
          <w:b/>
          <w:bCs/>
          <w:caps/>
          <w:color w:val="555555"/>
          <w:kern w:val="36"/>
          <w:sz w:val="35"/>
          <w:szCs w:val="35"/>
          <w:lang w:eastAsia="lt-LT"/>
        </w:rPr>
      </w:pPr>
      <w:r w:rsidRPr="00334735">
        <w:rPr>
          <w:rFonts w:ascii="neristhin" w:eastAsia="Times New Roman" w:hAnsi="neristhin" w:cs="Helvetica"/>
          <w:b/>
          <w:bCs/>
          <w:caps/>
          <w:color w:val="555555"/>
          <w:kern w:val="36"/>
          <w:sz w:val="35"/>
          <w:szCs w:val="35"/>
          <w:lang w:eastAsia="lt-LT"/>
        </w:rPr>
        <w:t>KONKURSO APRAŠYMAS</w:t>
      </w:r>
    </w:p>
    <w:p w:rsidR="00334735" w:rsidRPr="00334735" w:rsidRDefault="00334735" w:rsidP="00334735">
      <w:pPr>
        <w:spacing w:after="0" w:line="240" w:lineRule="auto"/>
        <w:jc w:val="both"/>
        <w:rPr>
          <w:rFonts w:ascii="nerislight" w:eastAsia="Times New Roman" w:hAnsi="nerislight" w:cs="Helvetica"/>
          <w:vanish/>
          <w:color w:val="151515"/>
          <w:sz w:val="23"/>
          <w:szCs w:val="23"/>
          <w:lang w:eastAsia="lt-LT"/>
        </w:rPr>
      </w:pPr>
      <w:r w:rsidRPr="00334735">
        <w:rPr>
          <w:rFonts w:ascii="nerislight" w:eastAsia="Times New Roman" w:hAnsi="nerislight" w:cs="Helvetica"/>
          <w:vanish/>
          <w:color w:val="FFFFFF"/>
          <w:sz w:val="18"/>
          <w:szCs w:val="18"/>
          <w:bdr w:val="single" w:sz="6" w:space="0" w:color="FFFFFF" w:frame="1"/>
          <w:shd w:val="clear" w:color="auto" w:fill="555555"/>
          <w:lang w:eastAsia="lt-LT"/>
        </w:rPr>
        <w:t>&lt;&gt;</w:t>
      </w:r>
    </w:p>
    <w:tbl>
      <w:tblPr>
        <w:tblW w:w="0" w:type="auto"/>
        <w:tblCellMar>
          <w:top w:w="15" w:type="dxa"/>
          <w:left w:w="15" w:type="dxa"/>
          <w:bottom w:w="15" w:type="dxa"/>
          <w:right w:w="15" w:type="dxa"/>
        </w:tblCellMar>
        <w:tblLook w:val="04A0" w:firstRow="1" w:lastRow="0" w:firstColumn="1" w:lastColumn="0" w:noHBand="0" w:noVBand="1"/>
      </w:tblPr>
      <w:tblGrid>
        <w:gridCol w:w="3911"/>
        <w:gridCol w:w="5727"/>
      </w:tblGrid>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t>Skelbimo nr.:</w:t>
            </w: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36196</w:t>
            </w:r>
          </w:p>
        </w:tc>
      </w:tr>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t>Skelbimo data:</w:t>
            </w: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2017-08-09</w:t>
            </w:r>
          </w:p>
        </w:tc>
      </w:tr>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t>Konkursą organizuojanti įstaiga:</w:t>
            </w: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Lietuvos kariuomenės Materialinių resursų departamentas</w:t>
            </w:r>
          </w:p>
        </w:tc>
      </w:tr>
      <w:tr w:rsidR="00334735" w:rsidRPr="00334735" w:rsidTr="00334735">
        <w:tc>
          <w:tcPr>
            <w:tcW w:w="0" w:type="auto"/>
            <w:gridSpan w:val="2"/>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t>Pareigybės aprašymas:</w:t>
            </w:r>
          </w:p>
        </w:tc>
      </w:tr>
      <w:tr w:rsidR="00334735" w:rsidRPr="00334735" w:rsidTr="00334735">
        <w:tc>
          <w:tcPr>
            <w:tcW w:w="0" w:type="auto"/>
            <w:gridSpan w:val="2"/>
            <w:shd w:val="clear" w:color="auto" w:fill="auto"/>
            <w:tcMar>
              <w:top w:w="0" w:type="dxa"/>
              <w:left w:w="0" w:type="dxa"/>
              <w:bottom w:w="0" w:type="dxa"/>
              <w:right w:w="0" w:type="dxa"/>
            </w:tcMar>
            <w:hideMark/>
          </w:tcPr>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MATERIALINIŲ RESURSŲ DEPARTAMENTO</w:t>
            </w:r>
            <w:r w:rsidRPr="00334735">
              <w:rPr>
                <w:rFonts w:ascii="nerislight" w:eastAsia="Times New Roman" w:hAnsi="nerislight" w:cs="Helvetica"/>
                <w:color w:val="151515"/>
                <w:sz w:val="20"/>
                <w:szCs w:val="20"/>
                <w:lang w:eastAsia="lt-LT"/>
              </w:rPr>
              <w:br/>
              <w:t>INŽINERINĖS ĮRANGOS SISTEMŲ SKYRIAUS LAUKO ĮRANGOS POSKYRIO VYRIAUSIOJO SPECIALISTO PAREIGYBĖS APRAŠYMAS</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I. SKYRIUS</w:t>
            </w:r>
            <w:r w:rsidRPr="00334735">
              <w:rPr>
                <w:rFonts w:ascii="nerislight" w:eastAsia="Times New Roman" w:hAnsi="nerislight" w:cs="Helvetica"/>
                <w:color w:val="151515"/>
                <w:sz w:val="20"/>
                <w:szCs w:val="20"/>
                <w:lang w:eastAsia="lt-LT"/>
              </w:rPr>
              <w:br/>
              <w:t>PAREIGYBĖS CHARAKTERISTIKA</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1. Materialinių resursų departamento Inžinerinės įrangos sistemų skyriaus Lauko įrangos poskyrio (toliau – Poskyris) vyriausiasis specialistas yra karjeros valstybės tarnautojas.</w:t>
            </w:r>
            <w:r w:rsidRPr="00334735">
              <w:rPr>
                <w:rFonts w:ascii="nerislight" w:eastAsia="Times New Roman" w:hAnsi="nerislight" w:cs="Helvetica"/>
                <w:color w:val="151515"/>
                <w:sz w:val="20"/>
                <w:szCs w:val="20"/>
                <w:lang w:eastAsia="lt-LT"/>
              </w:rPr>
              <w:br/>
              <w:t>2. Pareigybės lygis – A.</w:t>
            </w:r>
            <w:r w:rsidRPr="00334735">
              <w:rPr>
                <w:rFonts w:ascii="nerislight" w:eastAsia="Times New Roman" w:hAnsi="nerislight" w:cs="Helvetica"/>
                <w:color w:val="151515"/>
                <w:sz w:val="20"/>
                <w:szCs w:val="20"/>
                <w:lang w:eastAsia="lt-LT"/>
              </w:rPr>
              <w:br/>
              <w:t>3. Pareigybės kategorija – 13.</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II. SKYRIUS</w:t>
            </w:r>
            <w:r w:rsidRPr="00334735">
              <w:rPr>
                <w:rFonts w:ascii="nerislight" w:eastAsia="Times New Roman" w:hAnsi="nerislight" w:cs="Helvetica"/>
                <w:color w:val="151515"/>
                <w:sz w:val="20"/>
                <w:szCs w:val="20"/>
                <w:lang w:eastAsia="lt-LT"/>
              </w:rPr>
              <w:br/>
              <w:t>PASKIRTIS</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 xml:space="preserve">4. Vyriausiojo specialisto pareigybė reikalinga krašto apsaugos sistemoje (toliau – KAS) naudojamų stacionariųjų ir mobiliųjų kuro tiekimo sistemų (toliau – kuro sistemos), lauko įrangos (toliau – įranga), jų sistemų atsarginių dalių ir remonto paslaugų, degalų, tepalų, žymėto </w:t>
            </w:r>
            <w:proofErr w:type="spellStart"/>
            <w:r w:rsidRPr="00334735">
              <w:rPr>
                <w:rFonts w:ascii="nerislight" w:eastAsia="Times New Roman" w:hAnsi="nerislight" w:cs="Helvetica"/>
                <w:color w:val="151515"/>
                <w:sz w:val="20"/>
                <w:szCs w:val="20"/>
                <w:lang w:eastAsia="lt-LT"/>
              </w:rPr>
              <w:t>dyzelino</w:t>
            </w:r>
            <w:proofErr w:type="spellEnd"/>
            <w:r w:rsidRPr="00334735">
              <w:rPr>
                <w:rFonts w:ascii="nerislight" w:eastAsia="Times New Roman" w:hAnsi="nerislight" w:cs="Helvetica"/>
                <w:color w:val="151515"/>
                <w:sz w:val="20"/>
                <w:szCs w:val="20"/>
                <w:lang w:eastAsia="lt-LT"/>
              </w:rPr>
              <w:t xml:space="preserve"> šildymui, suskystintų dujų, specialiųjų skysčių (toliau – atsargos ir paslaugos) centralizuoto įsigijimo ir tiekimo vadybos procesams administruoti.</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III. SKYRIUS</w:t>
            </w:r>
            <w:r w:rsidRPr="00334735">
              <w:rPr>
                <w:rFonts w:ascii="nerislight" w:eastAsia="Times New Roman" w:hAnsi="nerislight" w:cs="Helvetica"/>
                <w:color w:val="151515"/>
                <w:sz w:val="20"/>
                <w:szCs w:val="20"/>
                <w:lang w:eastAsia="lt-LT"/>
              </w:rPr>
              <w:br/>
              <w:t>VEIKLOS SRITIS</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5. Šias pareigas einantis valstybės tarnautojas vykdo funkcijas specialioje veiklos srityje – materialinių vertybių valdymas.</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IV. SKYRIUS</w:t>
            </w:r>
            <w:r w:rsidRPr="00334735">
              <w:rPr>
                <w:rFonts w:ascii="nerislight" w:eastAsia="Times New Roman" w:hAnsi="nerislight" w:cs="Helvetica"/>
                <w:color w:val="151515"/>
                <w:sz w:val="20"/>
                <w:szCs w:val="20"/>
                <w:lang w:eastAsia="lt-LT"/>
              </w:rPr>
              <w:br/>
              <w:t>SPECIALIEJI REIKALAVIMAI ŠIAS PAREIGAS EINANČIAM VALSTYBĖS TARNAUTOJUI</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6. Valstybės tarnautojas, einantis šias pareigas, turi atitikti šiuos specialiuosius reikalavimus:</w:t>
            </w:r>
            <w:r w:rsidRPr="00334735">
              <w:rPr>
                <w:rFonts w:ascii="nerislight" w:eastAsia="Times New Roman" w:hAnsi="nerislight" w:cs="Helvetica"/>
                <w:color w:val="151515"/>
                <w:sz w:val="20"/>
                <w:szCs w:val="20"/>
                <w:lang w:eastAsia="lt-LT"/>
              </w:rPr>
              <w:br/>
              <w:t>6.1. turėti aukštąjį universitetinį arba jam prilygintą technologijos mokslų studijų srities mechanikos inžinerijos ar chemijos ir procesų inžinerijos krypties išsilavinimą;</w:t>
            </w:r>
            <w:r w:rsidRPr="00334735">
              <w:rPr>
                <w:rFonts w:ascii="nerislight" w:eastAsia="Times New Roman" w:hAnsi="nerislight" w:cs="Helvetica"/>
                <w:color w:val="151515"/>
                <w:sz w:val="20"/>
                <w:szCs w:val="20"/>
                <w:lang w:eastAsia="lt-LT"/>
              </w:rPr>
              <w:br/>
              <w:t>6.2. išmanyti ir gebėti pritaikyti savo darbe teisės aktus, reglamentuojančius kuro sistemų, įrangos ir atsargų tiekimo vadybos procesus KAS;</w:t>
            </w:r>
            <w:r w:rsidRPr="00334735">
              <w:rPr>
                <w:rFonts w:ascii="nerislight" w:eastAsia="Times New Roman" w:hAnsi="nerislight" w:cs="Helvetica"/>
                <w:color w:val="151515"/>
                <w:sz w:val="20"/>
                <w:szCs w:val="20"/>
                <w:lang w:eastAsia="lt-LT"/>
              </w:rPr>
              <w:br/>
              <w:t>6.3. žinoti KAS ir Lietuvos kariuomenės struktūrą;</w:t>
            </w:r>
            <w:r w:rsidRPr="00334735">
              <w:rPr>
                <w:rFonts w:ascii="nerislight" w:eastAsia="Times New Roman" w:hAnsi="nerislight" w:cs="Helvetica"/>
                <w:color w:val="151515"/>
                <w:sz w:val="20"/>
                <w:szCs w:val="20"/>
                <w:lang w:eastAsia="lt-LT"/>
              </w:rPr>
              <w:br/>
              <w:t xml:space="preserve">6.4. žinoti teisės aktų ir kitų Dokumentų rengimo taisykles, gebėti rengti teisės aktus ir kitus dokumentus; </w:t>
            </w:r>
            <w:r w:rsidRPr="00334735">
              <w:rPr>
                <w:rFonts w:ascii="nerislight" w:eastAsia="Times New Roman" w:hAnsi="nerislight" w:cs="Helvetica"/>
                <w:color w:val="151515"/>
                <w:sz w:val="20"/>
                <w:szCs w:val="20"/>
                <w:lang w:eastAsia="lt-LT"/>
              </w:rPr>
              <w:br/>
              <w:t xml:space="preserve">6.5. gebėti analizuoti teisės aktus ir kitą informaciją, ją sisteminti, apibendrinti, įžvelgti centralizuoto tiekimo procese iškilusias problemas, jas įvertinti, siūlyti motyvuotus sprendimo būdus; </w:t>
            </w:r>
            <w:r w:rsidRPr="00334735">
              <w:rPr>
                <w:rFonts w:ascii="nerislight" w:eastAsia="Times New Roman" w:hAnsi="nerislight" w:cs="Helvetica"/>
                <w:color w:val="151515"/>
                <w:sz w:val="20"/>
                <w:szCs w:val="20"/>
                <w:lang w:eastAsia="lt-LT"/>
              </w:rPr>
              <w:br/>
              <w:t>6.6. gebėti efektyviai planuoti ir organizuoti savo veiklą, bendradarbiauti ir dirbti komandoje;</w:t>
            </w:r>
            <w:r w:rsidRPr="00334735">
              <w:rPr>
                <w:rFonts w:ascii="nerislight" w:eastAsia="Times New Roman" w:hAnsi="nerislight" w:cs="Helvetica"/>
                <w:color w:val="151515"/>
                <w:sz w:val="20"/>
                <w:szCs w:val="20"/>
                <w:lang w:eastAsia="lt-LT"/>
              </w:rPr>
              <w:br/>
              <w:t>6.7. būti susipažinęs su projektų ir produktų gyvavimo ciklo vadybos principais, Lietuvos Respublikos įstatymais, Lietuvos Respublikos Vyriausybės nutarimais ir kitais teisės aktais, reglamentuojančiais valstybės tarnybą, viešuosius pirkimus, įslaptintos informacijos apsaugą, centralizuotą KAS aprūpinimą materialinėmis vertybėmis, žinoti gyvavimo ciklo etapų vadybos principus;</w:t>
            </w:r>
            <w:r w:rsidRPr="00334735">
              <w:rPr>
                <w:rFonts w:ascii="nerislight" w:eastAsia="Times New Roman" w:hAnsi="nerislight" w:cs="Helvetica"/>
                <w:color w:val="151515"/>
                <w:sz w:val="20"/>
                <w:szCs w:val="20"/>
                <w:lang w:eastAsia="lt-LT"/>
              </w:rPr>
              <w:br/>
              <w:t>6.8. mokėti dirbti kompiuteriu Microsoft Office programiniu paketu;</w:t>
            </w:r>
            <w:r w:rsidRPr="00334735">
              <w:rPr>
                <w:rFonts w:ascii="nerislight" w:eastAsia="Times New Roman" w:hAnsi="nerislight" w:cs="Helvetica"/>
                <w:color w:val="151515"/>
                <w:sz w:val="20"/>
                <w:szCs w:val="20"/>
                <w:lang w:eastAsia="lt-LT"/>
              </w:rPr>
              <w:br/>
              <w:t>6.9. atitikti teisės aktuose nustatytus reikalavimus dirbti ar susipažinti su įslaptinta informacija, žymima slaptumo žyma „Riboto naudojimo“;</w:t>
            </w:r>
            <w:r w:rsidRPr="00334735">
              <w:rPr>
                <w:rFonts w:ascii="nerislight" w:eastAsia="Times New Roman" w:hAnsi="nerislight" w:cs="Helvetica"/>
                <w:color w:val="151515"/>
                <w:sz w:val="20"/>
                <w:szCs w:val="20"/>
                <w:lang w:eastAsia="lt-LT"/>
              </w:rPr>
              <w:br/>
              <w:t>6.10. mokėti anglų kalbą pažengusio vartotojo lygmens B1 lygiu.</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V. SKYRIUS</w:t>
            </w:r>
            <w:r w:rsidRPr="00334735">
              <w:rPr>
                <w:rFonts w:ascii="nerislight" w:eastAsia="Times New Roman" w:hAnsi="nerislight" w:cs="Helvetica"/>
                <w:color w:val="151515"/>
                <w:sz w:val="20"/>
                <w:szCs w:val="20"/>
                <w:lang w:eastAsia="lt-LT"/>
              </w:rPr>
              <w:br/>
              <w:t>ŠIAS PAREIGAS EINANČIO VALSTYBĖS TARNAUTOJO FUNKCIJOS</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7. Šias pareigas einantis valstybės tarnautojas vykdo šias funkcijas:</w:t>
            </w:r>
            <w:r w:rsidRPr="00334735">
              <w:rPr>
                <w:rFonts w:ascii="nerislight" w:eastAsia="Times New Roman" w:hAnsi="nerislight" w:cs="Helvetica"/>
                <w:color w:val="151515"/>
                <w:sz w:val="20"/>
                <w:szCs w:val="20"/>
                <w:lang w:eastAsia="lt-LT"/>
              </w:rPr>
              <w:br/>
              <w:t>7.1. organizuoja ir koordinuoja kuro sistemų, įrangos, atsargų ir paslaugų vadybą (planavimas, organizavimas, vadovavimas ir kontrolė);</w:t>
            </w:r>
            <w:r w:rsidRPr="00334735">
              <w:rPr>
                <w:rFonts w:ascii="nerislight" w:eastAsia="Times New Roman" w:hAnsi="nerislight" w:cs="Helvetica"/>
                <w:color w:val="151515"/>
                <w:sz w:val="20"/>
                <w:szCs w:val="20"/>
                <w:lang w:eastAsia="lt-LT"/>
              </w:rPr>
              <w:br/>
              <w:t>7.2. kaupia, analizuoja ir apibendrina informaciją apie kuro sistemų ir įrangos rinką, technologijas, kainą, galimybes KAS diegti šios srities inovacijas, vertina jų poveikį ir galimą efektą;</w:t>
            </w:r>
            <w:r w:rsidRPr="00334735">
              <w:rPr>
                <w:rFonts w:ascii="nerislight" w:eastAsia="Times New Roman" w:hAnsi="nerislight" w:cs="Helvetica"/>
                <w:color w:val="151515"/>
                <w:sz w:val="20"/>
                <w:szCs w:val="20"/>
                <w:lang w:eastAsia="lt-LT"/>
              </w:rPr>
              <w:br/>
            </w:r>
            <w:r w:rsidRPr="00334735">
              <w:rPr>
                <w:rFonts w:ascii="nerislight" w:eastAsia="Times New Roman" w:hAnsi="nerislight" w:cs="Helvetica"/>
                <w:color w:val="151515"/>
                <w:sz w:val="20"/>
                <w:szCs w:val="20"/>
                <w:lang w:eastAsia="lt-LT"/>
              </w:rPr>
              <w:lastRenderedPageBreak/>
              <w:t>7.3. kaupia, analizuoja ir apibendrina informaciją apie atsargų gyvavimo ciklą, rinką, technologijas bei kainą;</w:t>
            </w:r>
            <w:r w:rsidRPr="00334735">
              <w:rPr>
                <w:rFonts w:ascii="nerislight" w:eastAsia="Times New Roman" w:hAnsi="nerislight" w:cs="Helvetica"/>
                <w:color w:val="151515"/>
                <w:sz w:val="20"/>
                <w:szCs w:val="20"/>
                <w:lang w:eastAsia="lt-LT"/>
              </w:rPr>
              <w:br/>
              <w:t>7.4. kaupia ir analizuoja informaciją apie kuro sistemų, įrangos ir atsargų eksploataciją KAS ir apibendrintus duomenis teikia Poskyrio viršininkui;</w:t>
            </w:r>
            <w:r w:rsidRPr="00334735">
              <w:rPr>
                <w:rFonts w:ascii="nerislight" w:eastAsia="Times New Roman" w:hAnsi="nerislight" w:cs="Helvetica"/>
                <w:color w:val="151515"/>
                <w:sz w:val="20"/>
                <w:szCs w:val="20"/>
                <w:lang w:eastAsia="lt-LT"/>
              </w:rPr>
              <w:br/>
              <w:t>7.5. pagal suteiktus įgaliojimus dalyvauja viešųjų pirkimų komisijų veikloje: nagrinėja tiekėjų pasiūlymus, skundus ar pretenzijas, rengia kitus dokumentus;</w:t>
            </w:r>
            <w:r w:rsidRPr="00334735">
              <w:rPr>
                <w:rFonts w:ascii="nerislight" w:eastAsia="Times New Roman" w:hAnsi="nerislight" w:cs="Helvetica"/>
                <w:color w:val="151515"/>
                <w:sz w:val="20"/>
                <w:szCs w:val="20"/>
                <w:lang w:eastAsia="lt-LT"/>
              </w:rPr>
              <w:br/>
              <w:t>7.6. vertina centralizuoto aprūpinimo įranga ir atsargomis poreikį ir skirtą finansavimą, rengia duomenis Centralizuotų pirkimų planui parengti;</w:t>
            </w:r>
            <w:r w:rsidRPr="00334735">
              <w:rPr>
                <w:rFonts w:ascii="nerislight" w:eastAsia="Times New Roman" w:hAnsi="nerislight" w:cs="Helvetica"/>
                <w:color w:val="151515"/>
                <w:sz w:val="20"/>
                <w:szCs w:val="20"/>
                <w:lang w:eastAsia="lt-LT"/>
              </w:rPr>
              <w:br/>
              <w:t>7.7. inicijuoja ir dalyvauja rengiant teisės aktus, jų pakeitimus ar papildymus, susijusius su kompetencijos sričiai priskirtų kuro sistemų, įrangos, atsargų ir paslaugų vadyba;</w:t>
            </w:r>
            <w:r w:rsidRPr="00334735">
              <w:rPr>
                <w:rFonts w:ascii="nerislight" w:eastAsia="Times New Roman" w:hAnsi="nerislight" w:cs="Helvetica"/>
                <w:color w:val="151515"/>
                <w:sz w:val="20"/>
                <w:szCs w:val="20"/>
                <w:lang w:eastAsia="lt-LT"/>
              </w:rPr>
              <w:br/>
              <w:t>7.8. teisės aktų nustatyta tvarka organizuoja ir vykdo KAS naudojamos įrangos eksploatacijos kontrolę KAS vienetuose;</w:t>
            </w:r>
            <w:r w:rsidRPr="00334735">
              <w:rPr>
                <w:rFonts w:ascii="nerislight" w:eastAsia="Times New Roman" w:hAnsi="nerislight" w:cs="Helvetica"/>
                <w:color w:val="151515"/>
                <w:sz w:val="20"/>
                <w:szCs w:val="20"/>
                <w:lang w:eastAsia="lt-LT"/>
              </w:rPr>
              <w:br/>
              <w:t>7.9. rengia ataskaitas vidaus ir išorės informacijos vartotojams;</w:t>
            </w:r>
            <w:r w:rsidRPr="00334735">
              <w:rPr>
                <w:rFonts w:ascii="nerislight" w:eastAsia="Times New Roman" w:hAnsi="nerislight" w:cs="Helvetica"/>
                <w:color w:val="151515"/>
                <w:sz w:val="20"/>
                <w:szCs w:val="20"/>
                <w:lang w:eastAsia="lt-LT"/>
              </w:rPr>
              <w:br/>
              <w:t xml:space="preserve">7.10. rengia ir tobulina įsigyjamos įrangos ir atsargų eksploataciją reglamentuojančius ir kitus dokumentus, vykdo patvirtintų norminių dokumentų </w:t>
            </w:r>
            <w:proofErr w:type="spellStart"/>
            <w:r w:rsidRPr="00334735">
              <w:rPr>
                <w:rFonts w:ascii="nerislight" w:eastAsia="Times New Roman" w:hAnsi="nerislight" w:cs="Helvetica"/>
                <w:color w:val="151515"/>
                <w:sz w:val="20"/>
                <w:szCs w:val="20"/>
                <w:lang w:eastAsia="lt-LT"/>
              </w:rPr>
              <w:t>stebėseną</w:t>
            </w:r>
            <w:proofErr w:type="spellEnd"/>
            <w:r w:rsidRPr="00334735">
              <w:rPr>
                <w:rFonts w:ascii="nerislight" w:eastAsia="Times New Roman" w:hAnsi="nerislight" w:cs="Helvetica"/>
                <w:color w:val="151515"/>
                <w:sz w:val="20"/>
                <w:szCs w:val="20"/>
                <w:lang w:eastAsia="lt-LT"/>
              </w:rPr>
              <w:t>;</w:t>
            </w:r>
            <w:r w:rsidRPr="00334735">
              <w:rPr>
                <w:rFonts w:ascii="nerislight" w:eastAsia="Times New Roman" w:hAnsi="nerislight" w:cs="Helvetica"/>
                <w:color w:val="151515"/>
                <w:sz w:val="20"/>
                <w:szCs w:val="20"/>
                <w:lang w:eastAsia="lt-LT"/>
              </w:rPr>
              <w:br/>
              <w:t>7.11. dalyvauja rengiant dokumentaciją techninės standartizacijos klausimais;</w:t>
            </w:r>
            <w:r w:rsidRPr="00334735">
              <w:rPr>
                <w:rFonts w:ascii="nerislight" w:eastAsia="Times New Roman" w:hAnsi="nerislight" w:cs="Helvetica"/>
                <w:color w:val="151515"/>
                <w:sz w:val="20"/>
                <w:szCs w:val="20"/>
                <w:lang w:eastAsia="lt-LT"/>
              </w:rPr>
              <w:br/>
              <w:t>7.12. pagal poreikį dalyvauja įsigytos įrangos diegimo KAS procese;</w:t>
            </w:r>
            <w:r w:rsidRPr="00334735">
              <w:rPr>
                <w:rFonts w:ascii="nerislight" w:eastAsia="Times New Roman" w:hAnsi="nerislight" w:cs="Helvetica"/>
                <w:color w:val="151515"/>
                <w:sz w:val="20"/>
                <w:szCs w:val="20"/>
                <w:lang w:eastAsia="lt-LT"/>
              </w:rPr>
              <w:br/>
              <w:t>7.13. rengia ir analizuoja aprūpinimo degalais ir specialiaisiais skysčiais normas ir teikia siūlymus dėl šių normų keitimo;</w:t>
            </w:r>
            <w:r w:rsidRPr="00334735">
              <w:rPr>
                <w:rFonts w:ascii="nerislight" w:eastAsia="Times New Roman" w:hAnsi="nerislight" w:cs="Helvetica"/>
                <w:color w:val="151515"/>
                <w:sz w:val="20"/>
                <w:szCs w:val="20"/>
                <w:lang w:eastAsia="lt-LT"/>
              </w:rPr>
              <w:br/>
              <w:t>7.14. rengia ir tobulina kompetencijos sričiai priskirtų centralizuotai įsigyjamų prekių technines specifikacijas;</w:t>
            </w:r>
            <w:r w:rsidRPr="00334735">
              <w:rPr>
                <w:rFonts w:ascii="nerislight" w:eastAsia="Times New Roman" w:hAnsi="nerislight" w:cs="Helvetica"/>
                <w:color w:val="151515"/>
                <w:sz w:val="20"/>
                <w:szCs w:val="20"/>
                <w:lang w:eastAsia="lt-LT"/>
              </w:rPr>
              <w:br/>
              <w:t>7.15. teisės aktų nustatyta tvarka inicijuoja komisijų, kontroliuojančių ar tiekiamos prekės ir paslaugos atitinka sutarties reikalavimus, sudarymą;</w:t>
            </w:r>
            <w:r w:rsidRPr="00334735">
              <w:rPr>
                <w:rFonts w:ascii="nerislight" w:eastAsia="Times New Roman" w:hAnsi="nerislight" w:cs="Helvetica"/>
                <w:color w:val="151515"/>
                <w:sz w:val="20"/>
                <w:szCs w:val="20"/>
                <w:lang w:eastAsia="lt-LT"/>
              </w:rPr>
              <w:br/>
              <w:t>7.16. pagal kompetenciją dalyvauja prekių ir paslaugų priėmimo – perdavimo komisijų darbe, tikrina, ar priimamos prekės ir paslaugos atitinka technines specifikacijas ir kitus sutartyje numatytus reikalavimus;</w:t>
            </w:r>
            <w:r w:rsidRPr="00334735">
              <w:rPr>
                <w:rFonts w:ascii="nerislight" w:eastAsia="Times New Roman" w:hAnsi="nerislight" w:cs="Helvetica"/>
                <w:color w:val="151515"/>
                <w:sz w:val="20"/>
                <w:szCs w:val="20"/>
                <w:lang w:eastAsia="lt-LT"/>
              </w:rPr>
              <w:br/>
              <w:t>7.17. dalyvauja organizuojant planuojamos įsigyti įrangos testavimus ir bandymus;</w:t>
            </w:r>
            <w:r w:rsidRPr="00334735">
              <w:rPr>
                <w:rFonts w:ascii="nerislight" w:eastAsia="Times New Roman" w:hAnsi="nerislight" w:cs="Helvetica"/>
                <w:color w:val="151515"/>
                <w:sz w:val="20"/>
                <w:szCs w:val="20"/>
                <w:lang w:eastAsia="lt-LT"/>
              </w:rPr>
              <w:br/>
              <w:t>7.18. teisės aktų nustatyta tvarka pagal kompetenciją rengia atsakymus į valstybės ir savivaldybių bei kitų institucijų įmonių paklausimus (raštus);</w:t>
            </w:r>
            <w:r w:rsidRPr="00334735">
              <w:rPr>
                <w:rFonts w:ascii="nerislight" w:eastAsia="Times New Roman" w:hAnsi="nerislight" w:cs="Helvetica"/>
                <w:color w:val="151515"/>
                <w:sz w:val="20"/>
                <w:szCs w:val="20"/>
                <w:lang w:eastAsia="lt-LT"/>
              </w:rPr>
              <w:br/>
              <w:t>7.19. vykdo kitus su jo funkcijomis susijusius nenuolatinio pobūdžio Poskyrio vedėjo pavedimus.</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VI. SKYRIUS</w:t>
            </w:r>
            <w:r w:rsidRPr="00334735">
              <w:rPr>
                <w:rFonts w:ascii="nerislight" w:eastAsia="Times New Roman" w:hAnsi="nerislight" w:cs="Helvetica"/>
                <w:color w:val="151515"/>
                <w:sz w:val="20"/>
                <w:szCs w:val="20"/>
                <w:lang w:eastAsia="lt-LT"/>
              </w:rPr>
              <w:br/>
              <w:t>ŠIAS PAREIGAS EINANČIO VALSTYBĖS TARNAUTOJO PAVALDUMAS</w:t>
            </w:r>
          </w:p>
          <w:p w:rsidR="00334735" w:rsidRPr="00334735" w:rsidRDefault="00334735" w:rsidP="00334735">
            <w:pPr>
              <w:spacing w:after="15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Šias pareigas einantis valstybės tarnautojas tiesiogiai pavaldus Poskyrio vedėjui</w:t>
            </w:r>
          </w:p>
        </w:tc>
      </w:tr>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lastRenderedPageBreak/>
              <w:t>Dokumentų pateikimo būdas:</w:t>
            </w: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hyperlink r:id="rId5" w:history="1">
              <w:r w:rsidRPr="00334735">
                <w:rPr>
                  <w:rFonts w:ascii="nerislight" w:eastAsia="Times New Roman" w:hAnsi="nerislight" w:cs="Helvetica"/>
                  <w:color w:val="337AB7"/>
                  <w:sz w:val="20"/>
                  <w:szCs w:val="20"/>
                  <w:lang w:eastAsia="lt-LT"/>
                </w:rPr>
                <w:t>el. būdu (per VATIS Atrankos modulį)</w:t>
              </w:r>
            </w:hyperlink>
          </w:p>
        </w:tc>
      </w:tr>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t>Adresas:</w:t>
            </w: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Vilniaus m. sav. Vilniaus m. Savanorių pr. 8</w:t>
            </w:r>
          </w:p>
        </w:tc>
      </w:tr>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t>Telefonas:</w:t>
            </w: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(8-5) 278 5201</w:t>
            </w:r>
          </w:p>
        </w:tc>
      </w:tr>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r w:rsidRPr="00334735">
              <w:rPr>
                <w:rFonts w:ascii="nerislight" w:eastAsia="Times New Roman" w:hAnsi="nerislight" w:cs="Helvetica"/>
                <w:b/>
                <w:bCs/>
                <w:color w:val="151515"/>
                <w:sz w:val="20"/>
                <w:szCs w:val="20"/>
                <w:lang w:eastAsia="lt-LT"/>
              </w:rPr>
              <w:t>El. paštas:</w:t>
            </w: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r w:rsidRPr="00334735">
              <w:rPr>
                <w:rFonts w:ascii="nerislight" w:eastAsia="Times New Roman" w:hAnsi="nerislight" w:cs="Helvetica"/>
                <w:color w:val="151515"/>
                <w:sz w:val="20"/>
                <w:szCs w:val="20"/>
                <w:lang w:eastAsia="lt-LT"/>
              </w:rPr>
              <w:t>MRD@mil.lt</w:t>
            </w:r>
          </w:p>
        </w:tc>
      </w:tr>
      <w:tr w:rsidR="00334735" w:rsidRPr="00334735" w:rsidTr="00334735">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b/>
                <w:bCs/>
                <w:color w:val="151515"/>
                <w:sz w:val="20"/>
                <w:szCs w:val="20"/>
                <w:lang w:eastAsia="lt-LT"/>
              </w:rPr>
            </w:pPr>
          </w:p>
        </w:tc>
        <w:tc>
          <w:tcPr>
            <w:tcW w:w="0" w:type="auto"/>
            <w:shd w:val="clear" w:color="auto" w:fill="auto"/>
            <w:tcMar>
              <w:top w:w="0" w:type="dxa"/>
              <w:left w:w="0" w:type="dxa"/>
              <w:bottom w:w="0" w:type="dxa"/>
              <w:right w:w="0" w:type="dxa"/>
            </w:tcMar>
            <w:hideMark/>
          </w:tcPr>
          <w:p w:rsidR="00334735" w:rsidRPr="00334735" w:rsidRDefault="00334735" w:rsidP="00334735">
            <w:pPr>
              <w:spacing w:after="0" w:line="240" w:lineRule="auto"/>
              <w:rPr>
                <w:rFonts w:ascii="nerislight" w:eastAsia="Times New Roman" w:hAnsi="nerislight" w:cs="Helvetica"/>
                <w:color w:val="151515"/>
                <w:sz w:val="20"/>
                <w:szCs w:val="20"/>
                <w:lang w:eastAsia="lt-LT"/>
              </w:rPr>
            </w:pPr>
          </w:p>
        </w:tc>
      </w:tr>
    </w:tbl>
    <w:p w:rsidR="0009181E" w:rsidRDefault="0009181E">
      <w:bookmarkStart w:id="0" w:name="_GoBack"/>
      <w:bookmarkEnd w:id="0"/>
    </w:p>
    <w:sectPr w:rsidR="000918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neristh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nerisligh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99"/>
    <w:rsid w:val="0009181E"/>
    <w:rsid w:val="001F6399"/>
    <w:rsid w:val="00334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50087">
      <w:bodyDiv w:val="1"/>
      <w:marLeft w:val="0"/>
      <w:marRight w:val="0"/>
      <w:marTop w:val="0"/>
      <w:marBottom w:val="0"/>
      <w:divBdr>
        <w:top w:val="none" w:sz="0" w:space="0" w:color="auto"/>
        <w:left w:val="none" w:sz="0" w:space="0" w:color="auto"/>
        <w:bottom w:val="none" w:sz="0" w:space="0" w:color="auto"/>
        <w:right w:val="none" w:sz="0" w:space="0" w:color="auto"/>
      </w:divBdr>
      <w:divsChild>
        <w:div w:id="575483739">
          <w:marLeft w:val="0"/>
          <w:marRight w:val="0"/>
          <w:marTop w:val="0"/>
          <w:marBottom w:val="0"/>
          <w:divBdr>
            <w:top w:val="none" w:sz="0" w:space="0" w:color="auto"/>
            <w:left w:val="none" w:sz="0" w:space="0" w:color="auto"/>
            <w:bottom w:val="none" w:sz="0" w:space="0" w:color="auto"/>
            <w:right w:val="none" w:sz="0" w:space="0" w:color="auto"/>
          </w:divBdr>
          <w:divsChild>
            <w:div w:id="1037199808">
              <w:marLeft w:val="-225"/>
              <w:marRight w:val="-225"/>
              <w:marTop w:val="0"/>
              <w:marBottom w:val="0"/>
              <w:divBdr>
                <w:top w:val="none" w:sz="0" w:space="0" w:color="auto"/>
                <w:left w:val="none" w:sz="0" w:space="0" w:color="auto"/>
                <w:bottom w:val="none" w:sz="0" w:space="0" w:color="auto"/>
                <w:right w:val="none" w:sz="0" w:space="0" w:color="auto"/>
              </w:divBdr>
              <w:divsChild>
                <w:div w:id="1901280969">
                  <w:marLeft w:val="0"/>
                  <w:marRight w:val="0"/>
                  <w:marTop w:val="0"/>
                  <w:marBottom w:val="0"/>
                  <w:divBdr>
                    <w:top w:val="none" w:sz="0" w:space="0" w:color="auto"/>
                    <w:left w:val="none" w:sz="0" w:space="0" w:color="auto"/>
                    <w:bottom w:val="none" w:sz="0" w:space="0" w:color="auto"/>
                    <w:right w:val="none" w:sz="0" w:space="0" w:color="auto"/>
                  </w:divBdr>
                  <w:divsChild>
                    <w:div w:id="1942492581">
                      <w:marLeft w:val="0"/>
                      <w:marRight w:val="0"/>
                      <w:marTop w:val="0"/>
                      <w:marBottom w:val="0"/>
                      <w:divBdr>
                        <w:top w:val="none" w:sz="0" w:space="0" w:color="auto"/>
                        <w:left w:val="none" w:sz="0" w:space="0" w:color="auto"/>
                        <w:bottom w:val="none" w:sz="0" w:space="0" w:color="auto"/>
                        <w:right w:val="none" w:sz="0" w:space="0" w:color="auto"/>
                      </w:divBdr>
                      <w:divsChild>
                        <w:div w:id="780493911">
                          <w:marLeft w:val="0"/>
                          <w:marRight w:val="0"/>
                          <w:marTop w:val="0"/>
                          <w:marBottom w:val="0"/>
                          <w:divBdr>
                            <w:top w:val="none" w:sz="0" w:space="0" w:color="auto"/>
                            <w:left w:val="none" w:sz="0" w:space="0" w:color="auto"/>
                            <w:bottom w:val="none" w:sz="0" w:space="0" w:color="auto"/>
                            <w:right w:val="none" w:sz="0" w:space="0" w:color="auto"/>
                          </w:divBdr>
                          <w:divsChild>
                            <w:div w:id="1470704003">
                              <w:marLeft w:val="0"/>
                              <w:marRight w:val="0"/>
                              <w:marTop w:val="0"/>
                              <w:marBottom w:val="0"/>
                              <w:divBdr>
                                <w:top w:val="none" w:sz="0" w:space="0" w:color="auto"/>
                                <w:left w:val="none" w:sz="0" w:space="0" w:color="auto"/>
                                <w:bottom w:val="none" w:sz="0" w:space="0" w:color="auto"/>
                                <w:right w:val="none" w:sz="0" w:space="0" w:color="auto"/>
                              </w:divBdr>
                            </w:div>
                            <w:div w:id="1639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stavimas.vtd.lt/portal/auth/contest/484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3714</Words>
  <Characters>2117</Characters>
  <Application>Microsoft Office Word</Application>
  <DocSecurity>0</DocSecurity>
  <Lines>17</Lines>
  <Paragraphs>11</Paragraphs>
  <ScaleCrop>false</ScaleCrop>
  <Company>KAM</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 Gudaitis</dc:creator>
  <cp:keywords/>
  <dc:description/>
  <cp:lastModifiedBy>Vidmantas Gudaitis</cp:lastModifiedBy>
  <cp:revision>2</cp:revision>
  <dcterms:created xsi:type="dcterms:W3CDTF">2017-08-29T05:45:00Z</dcterms:created>
  <dcterms:modified xsi:type="dcterms:W3CDTF">2017-08-29T05:45:00Z</dcterms:modified>
</cp:coreProperties>
</file>